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49F9C63A" w:rsidR="00FF1EFD" w:rsidRPr="00385677" w:rsidRDefault="00D42F33" w:rsidP="00861801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</w:t>
      </w:r>
      <w:r w:rsidR="00861801">
        <w:rPr>
          <w:b/>
          <w:bCs/>
          <w:color w:val="3B3B98"/>
          <w:sz w:val="28"/>
          <w:szCs w:val="28"/>
        </w:rPr>
        <w:t xml:space="preserve">A </w:t>
      </w:r>
      <w:r w:rsidR="00861801" w:rsidRPr="00861801">
        <w:rPr>
          <w:b/>
          <w:bCs/>
          <w:color w:val="3B3B98"/>
          <w:sz w:val="28"/>
          <w:szCs w:val="28"/>
        </w:rPr>
        <w:t>INSTITUIÇÃO FINANCEIRA BANCÁRIA - APLICAÇÃO DIRETA EM ATIVO FINANCEIRO DE RENDA FIXA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5F5F333C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792"/>
        <w:gridCol w:w="702"/>
      </w:tblGrid>
      <w:tr w:rsidR="001F140C" w:rsidRPr="00385677" w14:paraId="43E34B13" w14:textId="77777777" w:rsidTr="00ED654D">
        <w:trPr>
          <w:trHeight w:val="397"/>
        </w:trPr>
        <w:tc>
          <w:tcPr>
            <w:tcW w:w="7792" w:type="dxa"/>
            <w:vAlign w:val="center"/>
          </w:tcPr>
          <w:p w14:paraId="1A0A9717" w14:textId="3A1E01D9" w:rsidR="001F140C" w:rsidRPr="00385677" w:rsidRDefault="001F140C" w:rsidP="004E5418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Emissor de Ativos Bancários</w:t>
            </w:r>
          </w:p>
        </w:tc>
        <w:tc>
          <w:tcPr>
            <w:tcW w:w="702" w:type="dxa"/>
          </w:tcPr>
          <w:p w14:paraId="23530B40" w14:textId="40B4C25E" w:rsidR="001F140C" w:rsidRPr="00385677" w:rsidRDefault="001E6949" w:rsidP="00D42F33">
            <w:pPr>
              <w:rPr>
                <w:b/>
                <w:bCs/>
                <w:color w:val="404040" w:themeColor="text1" w:themeTint="BF"/>
              </w:rPr>
            </w:pPr>
            <w:r>
              <w:rPr>
                <w:b/>
                <w:bCs/>
                <w:color w:val="404040" w:themeColor="text1" w:themeTint="BF"/>
              </w:rPr>
              <w:t>X</w:t>
            </w: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9A3C05" w:rsidRPr="00385677" w14:paraId="5538E203" w14:textId="77777777" w:rsidTr="00435B0D">
        <w:tc>
          <w:tcPr>
            <w:tcW w:w="2405" w:type="dxa"/>
          </w:tcPr>
          <w:p w14:paraId="3D2E405C" w14:textId="77777777" w:rsidR="009A3C05" w:rsidRPr="00385677" w:rsidRDefault="009A3C05" w:rsidP="00435B0D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3267DA92" w14:textId="77777777" w:rsidR="009A3C05" w:rsidRPr="00385677" w:rsidRDefault="009A3C05" w:rsidP="00435B0D">
            <w:pPr>
              <w:rPr>
                <w:color w:val="404040" w:themeColor="text1" w:themeTint="BF"/>
              </w:rPr>
            </w:pPr>
            <w:r w:rsidRPr="00EF3573">
              <w:rPr>
                <w:color w:val="404040" w:themeColor="text1" w:themeTint="BF"/>
              </w:rPr>
              <w:t>XP Investimentos Corretora de Câmbio, Títulos e Valores Mobiliários S.A.</w:t>
            </w:r>
          </w:p>
        </w:tc>
      </w:tr>
      <w:tr w:rsidR="009A3C05" w:rsidRPr="00385677" w14:paraId="64933698" w14:textId="77777777" w:rsidTr="00435B0D">
        <w:tc>
          <w:tcPr>
            <w:tcW w:w="2405" w:type="dxa"/>
          </w:tcPr>
          <w:p w14:paraId="0243782B" w14:textId="77777777" w:rsidR="009A3C05" w:rsidRPr="00385677" w:rsidRDefault="009A3C05" w:rsidP="00435B0D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7165AC63" w14:textId="77777777" w:rsidR="009A3C05" w:rsidRPr="00385677" w:rsidRDefault="009A3C05" w:rsidP="00435B0D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02.332.886/0001-04</w:t>
            </w:r>
          </w:p>
        </w:tc>
      </w:tr>
      <w:tr w:rsidR="009A3C05" w:rsidRPr="00385677" w14:paraId="236E2042" w14:textId="77777777" w:rsidTr="00435B0D">
        <w:tc>
          <w:tcPr>
            <w:tcW w:w="2405" w:type="dxa"/>
          </w:tcPr>
          <w:p w14:paraId="7EA253E2" w14:textId="77777777" w:rsidR="009A3C05" w:rsidRPr="00385677" w:rsidRDefault="009A3C05" w:rsidP="00435B0D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3479102B" w14:textId="77777777" w:rsidR="009A3C05" w:rsidRPr="00385677" w:rsidRDefault="009A3C05" w:rsidP="00435B0D">
            <w:pPr>
              <w:rPr>
                <w:color w:val="404040" w:themeColor="text1" w:themeTint="BF"/>
              </w:rPr>
            </w:pPr>
            <w:r w:rsidRPr="00F8431C">
              <w:rPr>
                <w:color w:val="404040" w:themeColor="text1" w:themeTint="BF"/>
              </w:rPr>
              <w:t>05/12/1997</w:t>
            </w:r>
          </w:p>
        </w:tc>
      </w:tr>
      <w:tr w:rsidR="009A3C05" w:rsidRPr="00385677" w14:paraId="0A1E01E3" w14:textId="77777777" w:rsidTr="00435B0D">
        <w:tc>
          <w:tcPr>
            <w:tcW w:w="2405" w:type="dxa"/>
          </w:tcPr>
          <w:p w14:paraId="52D84743" w14:textId="77777777" w:rsidR="009A3C05" w:rsidRPr="00385677" w:rsidRDefault="009A3C05" w:rsidP="00435B0D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4E32B386" w14:textId="77777777" w:rsidR="009A3C05" w:rsidRPr="00385677" w:rsidRDefault="009A3C05" w:rsidP="00435B0D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Av. Chedid Jafet, 75 – Torre Sul – 30º andar – São Paulo/SP – CEP 04551-065</w:t>
            </w:r>
          </w:p>
        </w:tc>
      </w:tr>
      <w:tr w:rsidR="009A3C05" w:rsidRPr="00385677" w14:paraId="2961A0A8" w14:textId="77777777" w:rsidTr="00435B0D">
        <w:tc>
          <w:tcPr>
            <w:tcW w:w="2405" w:type="dxa"/>
          </w:tcPr>
          <w:p w14:paraId="3C3B0BA6" w14:textId="77777777" w:rsidR="009A3C05" w:rsidRPr="00385677" w:rsidRDefault="009A3C05" w:rsidP="00435B0D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403AC342" w14:textId="77777777" w:rsidR="009A3C05" w:rsidRPr="00385677" w:rsidRDefault="009A3C05" w:rsidP="00435B0D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institucional@xpi.com.br</w:t>
            </w:r>
          </w:p>
        </w:tc>
      </w:tr>
      <w:tr w:rsidR="009A3C05" w:rsidRPr="00385677" w14:paraId="5EB4EBB8" w14:textId="77777777" w:rsidTr="00435B0D">
        <w:tc>
          <w:tcPr>
            <w:tcW w:w="2405" w:type="dxa"/>
          </w:tcPr>
          <w:p w14:paraId="215D132B" w14:textId="77777777" w:rsidR="009A3C05" w:rsidRPr="00385677" w:rsidRDefault="009A3C05" w:rsidP="00435B0D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0AB50CB3" w14:textId="77777777" w:rsidR="009A3C05" w:rsidRPr="00385677" w:rsidRDefault="009A3C05" w:rsidP="00435B0D">
            <w:pPr>
              <w:rPr>
                <w:color w:val="404040" w:themeColor="text1" w:themeTint="BF"/>
              </w:rPr>
            </w:pPr>
            <w:r w:rsidRPr="002F7DD4">
              <w:rPr>
                <w:color w:val="404040" w:themeColor="text1" w:themeTint="BF"/>
              </w:rPr>
              <w:t>(11) 3075-0423</w:t>
            </w:r>
          </w:p>
        </w:tc>
      </w:tr>
    </w:tbl>
    <w:p w14:paraId="5DC3D0A0" w14:textId="77777777" w:rsidR="009A3C05" w:rsidRPr="00385677" w:rsidRDefault="009A3C05" w:rsidP="009A3C05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36"/>
        <w:gridCol w:w="1639"/>
        <w:gridCol w:w="2608"/>
        <w:gridCol w:w="1811"/>
      </w:tblGrid>
      <w:tr w:rsidR="009A3C05" w:rsidRPr="00385677" w14:paraId="7F8349D6" w14:textId="77777777" w:rsidTr="00435B0D">
        <w:tc>
          <w:tcPr>
            <w:tcW w:w="2830" w:type="dxa"/>
          </w:tcPr>
          <w:p w14:paraId="3C2781B6" w14:textId="77777777" w:rsidR="009A3C05" w:rsidRPr="00385677" w:rsidRDefault="009A3C05" w:rsidP="00435B0D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843" w:type="dxa"/>
          </w:tcPr>
          <w:p w14:paraId="52A7F90F" w14:textId="77777777" w:rsidR="009A3C05" w:rsidRPr="00385677" w:rsidRDefault="009A3C05" w:rsidP="00435B0D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1697" w:type="dxa"/>
          </w:tcPr>
          <w:p w14:paraId="110A9B67" w14:textId="77777777" w:rsidR="009A3C05" w:rsidRPr="00385677" w:rsidRDefault="009A3C05" w:rsidP="00435B0D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2124" w:type="dxa"/>
          </w:tcPr>
          <w:p w14:paraId="5EF887EC" w14:textId="77777777" w:rsidR="009A3C05" w:rsidRPr="00385677" w:rsidRDefault="009A3C05" w:rsidP="00435B0D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9A3C05" w:rsidRPr="00385677" w14:paraId="53BA3539" w14:textId="77777777" w:rsidTr="00435B0D">
        <w:tc>
          <w:tcPr>
            <w:tcW w:w="2830" w:type="dxa"/>
          </w:tcPr>
          <w:p w14:paraId="6AB4A687" w14:textId="77777777" w:rsidR="009A3C05" w:rsidRPr="00317B97" w:rsidRDefault="009A3C05" w:rsidP="00435B0D">
            <w:pPr>
              <w:rPr>
                <w:color w:val="404040" w:themeColor="text1" w:themeTint="BF"/>
              </w:rPr>
            </w:pPr>
            <w:r w:rsidRPr="00CA41A8">
              <w:rPr>
                <w:color w:val="404040" w:themeColor="text1" w:themeTint="BF"/>
              </w:rPr>
              <w:t xml:space="preserve">Bruno Fernandes </w:t>
            </w:r>
            <w:proofErr w:type="spellStart"/>
            <w:r w:rsidRPr="00CA41A8">
              <w:rPr>
                <w:color w:val="404040" w:themeColor="text1" w:themeTint="BF"/>
              </w:rPr>
              <w:t>Onias</w:t>
            </w:r>
            <w:proofErr w:type="spellEnd"/>
          </w:p>
        </w:tc>
        <w:tc>
          <w:tcPr>
            <w:tcW w:w="1843" w:type="dxa"/>
          </w:tcPr>
          <w:p w14:paraId="2F6578C3" w14:textId="77777777" w:rsidR="009A3C05" w:rsidRPr="00317B97" w:rsidRDefault="009A3C05" w:rsidP="00435B0D">
            <w:pPr>
              <w:rPr>
                <w:color w:val="404040" w:themeColor="text1" w:themeTint="BF"/>
              </w:rPr>
            </w:pPr>
            <w:r w:rsidRPr="00F8431C">
              <w:rPr>
                <w:color w:val="404040" w:themeColor="text1" w:themeTint="BF"/>
              </w:rPr>
              <w:t>Advogado</w:t>
            </w:r>
          </w:p>
        </w:tc>
        <w:tc>
          <w:tcPr>
            <w:tcW w:w="1697" w:type="dxa"/>
          </w:tcPr>
          <w:p w14:paraId="62D6A402" w14:textId="77777777" w:rsidR="009A3C05" w:rsidRPr="00317B97" w:rsidRDefault="009A3C05" w:rsidP="00435B0D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institucional@xpi.com.br</w:t>
            </w:r>
          </w:p>
        </w:tc>
        <w:tc>
          <w:tcPr>
            <w:tcW w:w="2124" w:type="dxa"/>
          </w:tcPr>
          <w:p w14:paraId="5F5ED264" w14:textId="77777777" w:rsidR="009A3C05" w:rsidRPr="00317B97" w:rsidRDefault="009A3C05" w:rsidP="00435B0D">
            <w:pPr>
              <w:rPr>
                <w:color w:val="404040" w:themeColor="text1" w:themeTint="BF"/>
              </w:rPr>
            </w:pPr>
            <w:r w:rsidRPr="002F7DD4">
              <w:rPr>
                <w:color w:val="404040" w:themeColor="text1" w:themeTint="BF"/>
              </w:rPr>
              <w:t>(11) 3075-0423</w:t>
            </w: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774D11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3CCD40BF" w:rsidR="00774D11" w:rsidRPr="00385677" w:rsidRDefault="001F140C" w:rsidP="00774D11">
            <w:pPr>
              <w:rPr>
                <w:b/>
                <w:bCs/>
                <w:color w:val="3B3B98"/>
              </w:rPr>
            </w:pPr>
            <w:r w:rsidRPr="001F140C">
              <w:rPr>
                <w:b/>
                <w:bCs/>
                <w:color w:val="3B3B98"/>
              </w:rPr>
              <w:t>Trata-se de instituição financeira bancária autorizada a funcionar pelo Banco Central do Brasil?</w:t>
            </w:r>
          </w:p>
        </w:tc>
        <w:tc>
          <w:tcPr>
            <w:tcW w:w="1134" w:type="dxa"/>
            <w:vAlign w:val="center"/>
            <w:hideMark/>
          </w:tcPr>
          <w:p w14:paraId="69C902E5" w14:textId="22AC1624" w:rsidR="00774D11" w:rsidRPr="00385677" w:rsidRDefault="00774D11" w:rsidP="00774D11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1F140C" w:rsidRPr="00385677" w14:paraId="0DCDE18C" w14:textId="77777777" w:rsidTr="003A48B1">
        <w:trPr>
          <w:trHeight w:val="765"/>
        </w:trPr>
        <w:tc>
          <w:tcPr>
            <w:tcW w:w="7366" w:type="dxa"/>
            <w:vAlign w:val="center"/>
          </w:tcPr>
          <w:p w14:paraId="30C4A1FB" w14:textId="32505A1D" w:rsidR="001F140C" w:rsidRPr="001C468A" w:rsidRDefault="001F140C" w:rsidP="00774D11">
            <w:pPr>
              <w:rPr>
                <w:b/>
                <w:bCs/>
                <w:color w:val="3B3B98"/>
              </w:rPr>
            </w:pPr>
            <w:r w:rsidRPr="001F140C">
              <w:rPr>
                <w:b/>
                <w:bCs/>
                <w:color w:val="3B3B98"/>
              </w:rPr>
              <w:t>A instituição atende ao previsto nos incisos I, do § 2º, do art. 21, da Resolução CMN nº 4.963/2021?</w:t>
            </w:r>
          </w:p>
        </w:tc>
        <w:tc>
          <w:tcPr>
            <w:tcW w:w="1134" w:type="dxa"/>
            <w:vAlign w:val="center"/>
          </w:tcPr>
          <w:p w14:paraId="0286F0BB" w14:textId="7A292605" w:rsidR="001F140C" w:rsidRDefault="009A3C05" w:rsidP="00774D11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774D11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12832A60" w:rsidR="00774D11" w:rsidRPr="00385677" w:rsidRDefault="00774D11" w:rsidP="00774D1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67FFF42B" w14:textId="4A994551" w:rsidR="00774D11" w:rsidRPr="00385677" w:rsidRDefault="009A3C05" w:rsidP="00774D11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774D11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0696B4AA" w:rsidR="00774D11" w:rsidRPr="00385677" w:rsidRDefault="00774D11" w:rsidP="00774D1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85662A">
              <w:rPr>
                <w:b/>
                <w:bCs/>
                <w:color w:val="3B3B98"/>
              </w:rPr>
              <w:t>?</w:t>
            </w:r>
          </w:p>
        </w:tc>
        <w:tc>
          <w:tcPr>
            <w:tcW w:w="1134" w:type="dxa"/>
            <w:vAlign w:val="center"/>
            <w:hideMark/>
          </w:tcPr>
          <w:p w14:paraId="4F283FA8" w14:textId="5D86F546" w:rsidR="00774D11" w:rsidRPr="00385677" w:rsidRDefault="00774D11" w:rsidP="00774D11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85662A" w:rsidRPr="00385677" w14:paraId="64ED2BAD" w14:textId="77777777" w:rsidTr="003A48B1">
        <w:trPr>
          <w:trHeight w:val="833"/>
        </w:trPr>
        <w:tc>
          <w:tcPr>
            <w:tcW w:w="7366" w:type="dxa"/>
            <w:vAlign w:val="center"/>
          </w:tcPr>
          <w:p w14:paraId="47BC7218" w14:textId="6C55785C" w:rsidR="0085662A" w:rsidRPr="00385677" w:rsidRDefault="0085662A" w:rsidP="00774D1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2371EF11" w14:textId="38195E2B" w:rsidR="0085662A" w:rsidRPr="00385677" w:rsidRDefault="00354E32" w:rsidP="00774D11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1F140C" w:rsidRPr="00385677" w14:paraId="400C7291" w14:textId="77777777" w:rsidTr="003A48B1">
        <w:trPr>
          <w:trHeight w:val="833"/>
        </w:trPr>
        <w:tc>
          <w:tcPr>
            <w:tcW w:w="7366" w:type="dxa"/>
            <w:vAlign w:val="center"/>
          </w:tcPr>
          <w:p w14:paraId="52DD3B16" w14:textId="0B4381A0" w:rsidR="001F140C" w:rsidRPr="00385677" w:rsidRDefault="001F140C" w:rsidP="00774D11">
            <w:pPr>
              <w:rPr>
                <w:b/>
                <w:bCs/>
                <w:color w:val="3B3B98"/>
              </w:rPr>
            </w:pPr>
            <w:r w:rsidRPr="001F140C">
              <w:rPr>
                <w:b/>
                <w:bCs/>
                <w:color w:val="3B3B98"/>
              </w:rPr>
              <w:lastRenderedPageBreak/>
              <w:t>Apenas serão ofertados ativos financeiros de renda fixa com obrigação ou coobrigação da instituição financeira bancária autorizada a funcionar pelo Banco Central do Brasil, nos termos do art. 7º, IV, da Resolução CMN nº 4.963/2021?</w:t>
            </w:r>
          </w:p>
        </w:tc>
        <w:tc>
          <w:tcPr>
            <w:tcW w:w="1134" w:type="dxa"/>
            <w:vAlign w:val="center"/>
          </w:tcPr>
          <w:p w14:paraId="0C309D3A" w14:textId="6C4B76A3" w:rsidR="001F140C" w:rsidRPr="00385677" w:rsidRDefault="00354E32" w:rsidP="00774D11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1F140C" w:rsidRPr="00385677" w14:paraId="374BE691" w14:textId="77777777" w:rsidTr="003A48B1">
        <w:trPr>
          <w:trHeight w:val="833"/>
        </w:trPr>
        <w:tc>
          <w:tcPr>
            <w:tcW w:w="7366" w:type="dxa"/>
            <w:vAlign w:val="center"/>
          </w:tcPr>
          <w:p w14:paraId="624BE33A" w14:textId="7A16C19B" w:rsidR="001F140C" w:rsidRPr="001F140C" w:rsidRDefault="001F140C" w:rsidP="00774D11">
            <w:pPr>
              <w:rPr>
                <w:b/>
                <w:bCs/>
                <w:color w:val="3B3B98"/>
              </w:rPr>
            </w:pPr>
            <w:r w:rsidRPr="001F140C">
              <w:rPr>
                <w:b/>
                <w:bCs/>
                <w:color w:val="3B3B98"/>
              </w:rPr>
              <w:t>Os ativos financeiros de renda fixa ofertados estão em conformidade com as regras estabelecidas em normas do Banco Central do Brasil?</w:t>
            </w:r>
          </w:p>
        </w:tc>
        <w:tc>
          <w:tcPr>
            <w:tcW w:w="1134" w:type="dxa"/>
            <w:vAlign w:val="center"/>
          </w:tcPr>
          <w:p w14:paraId="14590CC7" w14:textId="2D6A910D" w:rsidR="001F140C" w:rsidRPr="00385677" w:rsidRDefault="00354E32" w:rsidP="00774D11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774D11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470558B8" w:rsidR="00774D11" w:rsidRPr="00385677" w:rsidRDefault="00774D11" w:rsidP="00774D1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0052E9D0" w14:textId="57EB4985" w:rsidR="00774D11" w:rsidRPr="00385677" w:rsidRDefault="00774D11" w:rsidP="00774D11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774D11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06F68D16" w:rsidR="00774D11" w:rsidRPr="00385677" w:rsidRDefault="00774D11" w:rsidP="00774D1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8233C08" w14:textId="01AC974D" w:rsidR="00774D11" w:rsidRPr="00385677" w:rsidRDefault="00774D11" w:rsidP="00774D11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6719CC1A" w14:textId="297F7A64" w:rsidR="00237256" w:rsidRPr="001F140C" w:rsidRDefault="001F140C" w:rsidP="003A48B1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>
        <w:rPr>
          <w:b/>
          <w:bCs/>
          <w:color w:val="3B3B98"/>
          <w:sz w:val="28"/>
          <w:szCs w:val="28"/>
        </w:rPr>
        <w:t>ATIVOS FINANCEIROS OFERTADOS PELA INSTITUIÇÃO PARA FUTURA DECISÃO DE INVESTIMENTOS: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4957"/>
        <w:gridCol w:w="3543"/>
      </w:tblGrid>
      <w:tr w:rsidR="001F140C" w:rsidRPr="00385677" w14:paraId="1088B4E0" w14:textId="77777777" w:rsidTr="001F140C">
        <w:trPr>
          <w:trHeight w:val="765"/>
        </w:trPr>
        <w:tc>
          <w:tcPr>
            <w:tcW w:w="4957" w:type="dxa"/>
            <w:vAlign w:val="center"/>
            <w:hideMark/>
          </w:tcPr>
          <w:p w14:paraId="0A96AAC2" w14:textId="1AE1CD81" w:rsidR="001F140C" w:rsidRPr="00385677" w:rsidRDefault="001F140C" w:rsidP="001F140C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ATIVOS</w:t>
            </w:r>
          </w:p>
        </w:tc>
        <w:tc>
          <w:tcPr>
            <w:tcW w:w="3543" w:type="dxa"/>
            <w:vAlign w:val="center"/>
            <w:hideMark/>
          </w:tcPr>
          <w:p w14:paraId="5121961D" w14:textId="0C5384CF" w:rsidR="001F140C" w:rsidRPr="00385677" w:rsidRDefault="001F140C" w:rsidP="000D7F4D">
            <w:pPr>
              <w:jc w:val="center"/>
              <w:rPr>
                <w:color w:val="404040" w:themeColor="text1" w:themeTint="BF"/>
              </w:rPr>
            </w:pPr>
            <w:r w:rsidRPr="001F140C">
              <w:rPr>
                <w:b/>
                <w:bCs/>
                <w:color w:val="3B3B98"/>
              </w:rPr>
              <w:t>Código ISIN</w:t>
            </w:r>
          </w:p>
        </w:tc>
      </w:tr>
      <w:tr w:rsidR="001F140C" w14:paraId="17A679A5" w14:textId="77777777" w:rsidTr="001F140C">
        <w:trPr>
          <w:trHeight w:val="472"/>
        </w:trPr>
        <w:tc>
          <w:tcPr>
            <w:tcW w:w="4957" w:type="dxa"/>
            <w:vAlign w:val="center"/>
          </w:tcPr>
          <w:p w14:paraId="678F9CC9" w14:textId="5D0423C1" w:rsidR="001F140C" w:rsidRPr="001C468A" w:rsidRDefault="001F140C" w:rsidP="000D7F4D">
            <w:pPr>
              <w:rPr>
                <w:b/>
                <w:bCs/>
                <w:color w:val="3B3B98"/>
              </w:rPr>
            </w:pPr>
          </w:p>
        </w:tc>
        <w:tc>
          <w:tcPr>
            <w:tcW w:w="3543" w:type="dxa"/>
            <w:vAlign w:val="center"/>
          </w:tcPr>
          <w:p w14:paraId="0B7EB9B1" w14:textId="750507AB" w:rsidR="001F140C" w:rsidRDefault="001F140C" w:rsidP="000D7F4D">
            <w:pPr>
              <w:jc w:val="center"/>
              <w:rPr>
                <w:color w:val="404040" w:themeColor="text1" w:themeTint="BF"/>
              </w:rPr>
            </w:pPr>
          </w:p>
        </w:tc>
      </w:tr>
      <w:tr w:rsidR="001F140C" w:rsidRPr="00385677" w14:paraId="53374AE3" w14:textId="77777777" w:rsidTr="001F140C">
        <w:trPr>
          <w:trHeight w:val="408"/>
        </w:trPr>
        <w:tc>
          <w:tcPr>
            <w:tcW w:w="4957" w:type="dxa"/>
            <w:vAlign w:val="center"/>
          </w:tcPr>
          <w:p w14:paraId="68956736" w14:textId="6241D0D3" w:rsidR="001F140C" w:rsidRPr="00385677" w:rsidRDefault="001F140C" w:rsidP="000D7F4D">
            <w:pPr>
              <w:rPr>
                <w:b/>
                <w:bCs/>
                <w:color w:val="3B3B98"/>
              </w:rPr>
            </w:pPr>
          </w:p>
        </w:tc>
        <w:tc>
          <w:tcPr>
            <w:tcW w:w="3543" w:type="dxa"/>
            <w:vAlign w:val="center"/>
          </w:tcPr>
          <w:p w14:paraId="46A56C44" w14:textId="02DC8E0A" w:rsidR="001F140C" w:rsidRPr="00385677" w:rsidRDefault="001F140C" w:rsidP="000D7F4D">
            <w:pPr>
              <w:jc w:val="center"/>
              <w:rPr>
                <w:color w:val="404040" w:themeColor="text1" w:themeTint="BF"/>
              </w:rPr>
            </w:pPr>
          </w:p>
        </w:tc>
      </w:tr>
      <w:tr w:rsidR="001F140C" w:rsidRPr="00385677" w14:paraId="0D396014" w14:textId="77777777" w:rsidTr="001F140C">
        <w:trPr>
          <w:trHeight w:val="429"/>
        </w:trPr>
        <w:tc>
          <w:tcPr>
            <w:tcW w:w="4957" w:type="dxa"/>
            <w:vAlign w:val="center"/>
          </w:tcPr>
          <w:p w14:paraId="0B40CCAC" w14:textId="032DD19B" w:rsidR="001F140C" w:rsidRPr="00385677" w:rsidRDefault="001F140C" w:rsidP="000D7F4D">
            <w:pPr>
              <w:rPr>
                <w:b/>
                <w:bCs/>
                <w:color w:val="3B3B98"/>
              </w:rPr>
            </w:pPr>
          </w:p>
        </w:tc>
        <w:tc>
          <w:tcPr>
            <w:tcW w:w="3543" w:type="dxa"/>
            <w:vAlign w:val="center"/>
          </w:tcPr>
          <w:p w14:paraId="4FF88CAB" w14:textId="11F51B87" w:rsidR="001F140C" w:rsidRPr="00385677" w:rsidRDefault="001F140C" w:rsidP="000D7F4D">
            <w:pPr>
              <w:jc w:val="center"/>
              <w:rPr>
                <w:color w:val="404040" w:themeColor="text1" w:themeTint="BF"/>
              </w:rPr>
            </w:pPr>
          </w:p>
        </w:tc>
      </w:tr>
    </w:tbl>
    <w:p w14:paraId="42496A4F" w14:textId="77777777" w:rsidR="001F140C" w:rsidRDefault="001F140C" w:rsidP="003A48B1">
      <w:pPr>
        <w:rPr>
          <w:b/>
          <w:bCs/>
        </w:rPr>
      </w:pPr>
    </w:p>
    <w:p w14:paraId="786D06F8" w14:textId="18D36089" w:rsidR="00FD3E35" w:rsidRPr="00385677" w:rsidRDefault="00237256" w:rsidP="0085754A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1F140C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 xml:space="preserve"> 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5E1B1B28" w14:textId="77777777" w:rsidR="001B56F0" w:rsidRDefault="001B56F0" w:rsidP="001B56F0">
      <w:pPr>
        <w:rPr>
          <w:color w:val="404040" w:themeColor="text1" w:themeTint="BF"/>
        </w:rPr>
      </w:pPr>
      <w:r w:rsidRPr="001A4CA9">
        <w:rPr>
          <w:color w:val="404040" w:themeColor="text1" w:themeTint="BF"/>
        </w:rPr>
        <w:t>A XP Investimentos é autorizada pelo Banco Central do Brasil para atuar como corretora de câmbio, títulos e valores mobiliários, e está devidamente registrada na Comissão de Valores Mobiliários (CVM) para intermediação e distribuição de produtos de investimento.</w:t>
      </w:r>
    </w:p>
    <w:p w14:paraId="355903BA" w14:textId="77777777" w:rsidR="00374AF8" w:rsidRPr="00B50007" w:rsidRDefault="00374AF8" w:rsidP="00374AF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9A2B06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3D86BDB7" w14:textId="77777777" w:rsidR="006E6452" w:rsidRPr="00CE3E73" w:rsidRDefault="006E6452" w:rsidP="006E6452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t>A XP adota um Código de Ética e Conduta abrangente, que estabelece princípios de integridade, transparência, prevenção de conflitos de interesse e atuação responsável no mercado. O cumprimento dessas normas é obrigatório para todos os colaboradores e prestadores de serviço da instituição.</w:t>
      </w:r>
    </w:p>
    <w:p w14:paraId="7528D7DD" w14:textId="77777777" w:rsidR="006E6452" w:rsidRPr="00CE3E73" w:rsidRDefault="006E6452" w:rsidP="006E6452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t>Possui uma estrutura de compliance independente, responsável por monitorar continuamente as operações e assegurar o cumprimento das obrigações regulatórias, bem como práticas de prevenção à lavagem de dinheiro e combate à corrupção.</w:t>
      </w:r>
    </w:p>
    <w:p w14:paraId="3AEE36F1" w14:textId="77777777" w:rsidR="006E6452" w:rsidRDefault="006E6452" w:rsidP="006E6452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lastRenderedPageBreak/>
        <w:t>A instituição mantém também canal de denúncias independente e confidencial, que reforça a cultura de ética, possibilitando que qualquer irregularidade seja reportada e tratada de forma adequada, garantindo responsabilidade e governança corporativa.</w:t>
      </w:r>
    </w:p>
    <w:p w14:paraId="5FBE868D" w14:textId="77777777" w:rsidR="006E6452" w:rsidRPr="005E33D4" w:rsidRDefault="006E6452" w:rsidP="006E6452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>A análise evidencia que o Grupo XP Inc. adota rígidos mecanismos de controle e governança para mitigar riscos relacionados ao uso e acesso a informações privilegiadas. A instituição aplica o conceito de Chinese Wall, separando o “lado público” – formado por áreas de vendas, negociação, pesquisa e recomendações – do “lado privado”, que reúne setores com acesso rotineiro a informações sensíveis, como relacionamento com clientes e investimentos. O Compliance atua como guardião da barreira, com acesso a ambos os lados, supervisionando atividades e controlando negociações proprietárias, de clientes e colaboradores, em consonância com a Política de Investimentos de Pessoas Vinculadas. Também possuem acesso além da barreira a alta administração, controladoria, auditoria interna, controles internos e jurídico.</w:t>
      </w:r>
    </w:p>
    <w:p w14:paraId="2B3CC89C" w14:textId="77777777" w:rsidR="006E6452" w:rsidRPr="005E33D4" w:rsidRDefault="006E6452" w:rsidP="006E6452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>Além disso, destaca-se o uso do sistema SMARTS BROKER (NASDAQ), empregado pelo Compliance da XP Investimentos para monitorar indícios de front running, manipulação de preços, operações fraudulentas e outras práticas vedadas pela Resolução CVM nº 62/22. O controle é reforçado por medidas como a assinatura obrigatória de termos de confidencialidade por todos os colaboradores, bloqueio de e-mails pessoais e redes sociais na rede corporativa, restrição do uso de dispositivos pessoais nas mesas de operação e monitoramento contínuo de canais de comunicação. Descumprimentos são analisados pelo Compliance, que pode acionar o Comitê de Ética para aplicação das sanções cabíveis.</w:t>
      </w:r>
    </w:p>
    <w:p w14:paraId="55E8C60A" w14:textId="77777777" w:rsidR="006E6452" w:rsidRPr="005E33D4" w:rsidRDefault="006E6452" w:rsidP="006E6452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>No que tange à integridade corporativa, a XP veda a aceitação de presentes ou gratificações superiores a R$ 500,00, exigindo aprovação do Compliance para valores acima desse limite, em alinhamento com a política interna. A companhia também mantém o Canal Confidencial de Denúncias, gerido de forma independente pela ICTS Outsourcing, assegurando anonimato, sigilo e tratamento imparcial das manifestações recebidas. Denúncias são classificadas, direcionadas ao Compliance e reportadas periodicamente ao Comitê de Auditoria, sendo que os casos mais graves podem ser encaminhados ao Comitê de Auditoria e/ou Comitê de Ética, garantindo equidade, transparência e tempestividade nas apurações.</w:t>
      </w:r>
    </w:p>
    <w:p w14:paraId="4D182931" w14:textId="77777777" w:rsidR="003804EF" w:rsidRPr="00385677" w:rsidRDefault="003804EF" w:rsidP="00EF0037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23252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2EC7354F" w14:textId="77777777" w:rsidR="00A05D26" w:rsidRDefault="00A05D26" w:rsidP="00A05D26">
      <w:pPr>
        <w:jc w:val="both"/>
        <w:rPr>
          <w:color w:val="404040" w:themeColor="text1" w:themeTint="BF"/>
        </w:rPr>
      </w:pPr>
      <w:r w:rsidRPr="00C7164C">
        <w:rPr>
          <w:color w:val="404040" w:themeColor="text1" w:themeTint="BF"/>
        </w:rPr>
        <w:t>Não há registros de restrições regulatórias, administrativas ou legais contra a XP Investimentos que impeçam seu credenciamento. A instituição cumpre integralmente as normas da CVM, Banco Central e ANBIMA.</w:t>
      </w:r>
    </w:p>
    <w:p w14:paraId="672955CC" w14:textId="77777777" w:rsidR="003804EF" w:rsidRPr="00B50007" w:rsidRDefault="003804EF" w:rsidP="00EF0037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345A9495" w14:textId="77777777" w:rsidR="0005440F" w:rsidRPr="00302100" w:rsidRDefault="0005440F" w:rsidP="0005440F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Fundada em 2001, a XP Investimentos tornou-se uma das maiores corretoras de valores do Brasil, pioneira na democratização do acesso a investimentos por meio de plataformas digitais. Sua trajetória é marcada pelo crescimento acelerado, inovação tecnológica e expansão da base de clientes.</w:t>
      </w:r>
    </w:p>
    <w:p w14:paraId="1202DA72" w14:textId="77777777" w:rsidR="0005440F" w:rsidRPr="00302100" w:rsidRDefault="0005440F" w:rsidP="0005440F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lastRenderedPageBreak/>
        <w:t>A XP Inc., controladora indireta, está listada na Nasdaq (EUA), reforçando sua governança internacional e transparência junto ao mercado global. Essa posição de destaque confere credibilidade adicional à operação no Brasil.</w:t>
      </w:r>
    </w:p>
    <w:p w14:paraId="183C6198" w14:textId="372BA77C" w:rsidR="001C468A" w:rsidRDefault="0005440F" w:rsidP="0005440F">
      <w:pPr>
        <w:jc w:val="both"/>
        <w:rPr>
          <w:color w:val="404040" w:themeColor="text1" w:themeTint="BF"/>
        </w:rPr>
      </w:pPr>
      <w:r w:rsidRPr="002E7192">
        <w:rPr>
          <w:color w:val="404040" w:themeColor="text1" w:themeTint="BF"/>
        </w:rPr>
        <w:t>A análise demonstra que, ao longo de duas décadas, a XP Investimentos consolidou-se como referência no mercado financeiro brasileiro, com trajetória marcada por crescimento e diversificação de serviços. Fundada em 2001 por Guilherme Benchimol e Marcelo Maisonnave, inicialmente como uma sociedade de agentes autônomos voltada a pequenos investidores, a instituição expandiu de forma significativa sua atuação. Atualmente, figura como a maior corretora independente do país, com mais de R$ 925 bilhões sob custódia. Sua atuação abrange a intermediação de operações de títulos e valores mobiliários, a estruturação e gestão de fundos de investimento, a oferta de produtos estruturados, de renda fixa, securitários e previdenciários, além da disponibilização de conteúdos e cursos voltados à educação financeira, consolidando um modelo de negócios diversificado e orientado ao atendimento de diferentes perfis de investidores.</w:t>
      </w:r>
    </w:p>
    <w:p w14:paraId="42BB9F71" w14:textId="77777777" w:rsidR="0005440F" w:rsidRPr="0005440F" w:rsidRDefault="0005440F" w:rsidP="0005440F">
      <w:pPr>
        <w:jc w:val="both"/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07B0AA9D" w14:textId="77777777" w:rsidR="00C10785" w:rsidRPr="00302100" w:rsidRDefault="00C10785" w:rsidP="00C10785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A XP Investimentos possui mais de 20 anos de atuação ininterrupta no mercado financeiro brasileiro, período no qual ampliou sua participação e consolidou sua marca como referência em intermediação de valores mobiliários.</w:t>
      </w:r>
    </w:p>
    <w:p w14:paraId="2D776CFA" w14:textId="1DCA091B" w:rsidR="00B50007" w:rsidRPr="00C10785" w:rsidRDefault="00C10785" w:rsidP="00C10785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Dessa forma, atende plenamente ao requisito mínimo de experiência exigido pela Portaria MTP nº 1.467/2022 para credenciamento junto aos RPPS.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1F140C" w:rsidRPr="006E6BAD" w14:paraId="3F006A05" w14:textId="77777777" w:rsidTr="000D7F4D">
        <w:tc>
          <w:tcPr>
            <w:tcW w:w="8499" w:type="dxa"/>
            <w:shd w:val="clear" w:color="auto" w:fill="3B3B98"/>
          </w:tcPr>
          <w:p w14:paraId="4DCFFBEC" w14:textId="176C514F" w:rsidR="001F140C" w:rsidRPr="00B50007" w:rsidRDefault="001F140C" w:rsidP="000D7F4D">
            <w:pPr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593CCF83" w14:textId="77777777" w:rsidR="00171A89" w:rsidRDefault="00171A89" w:rsidP="00171A89">
      <w:pPr>
        <w:jc w:val="both"/>
        <w:rPr>
          <w:color w:val="404040" w:themeColor="text1" w:themeTint="BF"/>
        </w:rPr>
      </w:pPr>
      <w:r w:rsidRPr="00FD0A7A">
        <w:rPr>
          <w:color w:val="404040" w:themeColor="text1" w:themeTint="BF"/>
        </w:rPr>
        <w:t>A XP distribui fundos que se enquadram nas principais categorias permitidas pela Resolução CMN nº 4.963/2021, como fundos de Renda Fixa com predominância em títulos públicos, fundos Referenciados DI, fundos de Crédito Privado com ratings elevados, e fundos Multimercados com limites de volatilidade adequados.</w:t>
      </w:r>
    </w:p>
    <w:p w14:paraId="5320B7B9" w14:textId="77777777" w:rsidR="001F140C" w:rsidRPr="00385677" w:rsidRDefault="001F140C" w:rsidP="00CE1A54">
      <w:pPr>
        <w:rPr>
          <w:color w:val="3B3B98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317B64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3AE1D891" w14:textId="77777777" w:rsidR="00335D77" w:rsidRPr="00385677" w:rsidRDefault="00335D77" w:rsidP="00335D77">
      <w:pPr>
        <w:rPr>
          <w:color w:val="404040" w:themeColor="text1" w:themeTint="BF"/>
        </w:rPr>
      </w:pPr>
      <w:r w:rsidRPr="00FD0A7A">
        <w:rPr>
          <w:color w:val="404040" w:themeColor="text1" w:themeTint="BF"/>
        </w:rPr>
        <w:t>Embora atue como corretora, a XP possui forte presença na distribuição e intermediação de recursos, movimentando montantes expressivos que superam centenas de bilhões de reais sob custódia e intermediação.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9A5292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53CC7813" w14:textId="4AA4E7AE" w:rsidR="00E357B4" w:rsidRPr="00CB0BFE" w:rsidRDefault="00E357B4" w:rsidP="00E357B4">
      <w:pPr>
        <w:jc w:val="both"/>
        <w:rPr>
          <w:color w:val="404040" w:themeColor="text1" w:themeTint="BF"/>
        </w:rPr>
      </w:pPr>
      <w:r w:rsidRPr="00CB0BFE">
        <w:rPr>
          <w:color w:val="404040" w:themeColor="text1" w:themeTint="BF"/>
        </w:rPr>
        <w:t xml:space="preserve">A análise evidencia que a XP Investimentos mantém um programa estruturado e contínuo de capacitação de seus colaboradores, contemplando tanto o momento da contratação quanto processos anuais de reciclagem. Os treinamentos obrigatórios abrangem temas essenciais à governança e conformidade, como anticorrupção e compliance, investimentos pessoais, </w:t>
      </w:r>
      <w:proofErr w:type="spellStart"/>
      <w:r w:rsidRPr="00CB0BFE">
        <w:rPr>
          <w:color w:val="404040" w:themeColor="text1" w:themeTint="BF"/>
        </w:rPr>
        <w:t>suitability</w:t>
      </w:r>
      <w:proofErr w:type="spellEnd"/>
      <w:r w:rsidRPr="00CB0BFE">
        <w:rPr>
          <w:color w:val="404040" w:themeColor="text1" w:themeTint="BF"/>
        </w:rPr>
        <w:t>, prevenção à lavagem de dinheiro, segurança da informação, riscos financeiros, circulação de informações e uso de mídias sociais. Todo o processo é realizado via plataforma online, com aplicação de testes de retenção de conteúdo e emissão de certificado ao término, assegurando controle efetivo da participação.</w:t>
      </w:r>
    </w:p>
    <w:p w14:paraId="66274F76" w14:textId="77777777" w:rsidR="00E357B4" w:rsidRDefault="00E357B4" w:rsidP="00E357B4">
      <w:pPr>
        <w:jc w:val="both"/>
        <w:rPr>
          <w:color w:val="404040" w:themeColor="text1" w:themeTint="BF"/>
        </w:rPr>
      </w:pPr>
      <w:r w:rsidRPr="00CB0BFE">
        <w:rPr>
          <w:color w:val="404040" w:themeColor="text1" w:themeTint="BF"/>
        </w:rPr>
        <w:lastRenderedPageBreak/>
        <w:t xml:space="preserve">Em situações de descumprimento das obrigações de capacitação, o departamento de Compliance adota medidas de </w:t>
      </w:r>
      <w:proofErr w:type="spellStart"/>
      <w:r w:rsidRPr="00CB0BFE">
        <w:rPr>
          <w:color w:val="404040" w:themeColor="text1" w:themeTint="BF"/>
        </w:rPr>
        <w:t>enforcement</w:t>
      </w:r>
      <w:proofErr w:type="spellEnd"/>
      <w:r w:rsidRPr="00CB0BFE">
        <w:rPr>
          <w:color w:val="404040" w:themeColor="text1" w:themeTint="BF"/>
        </w:rPr>
        <w:t>, que podem incluir sanções disciplinares e restrição de acessos operacionais. Entre os treinamentos de maior relevância, destaca-se o de Prevenção à Lavagem de Dinheiro e Combate ao Financiamento do Terrorismo e da Proliferação de Armas de Destruição em Massa (PLD/FTP), no qual são abordados aspectos como identificação e reporte de operações suspeitas às autoridades competentes, exemplos práticos de mecanismos de lavagem de dinheiro relacionados a produtos e serviços da instituição, bem como as regras internas pertinentes ao tema e às normas anticorrupção. A utilização de casos concretos, associada ao teste de retenção e à emissão de certificado, reforça a efetividade do processo e a cultura de integridade na organização.</w:t>
      </w:r>
    </w:p>
    <w:p w14:paraId="0D20448D" w14:textId="77777777" w:rsidR="00E357B4" w:rsidRPr="00393763" w:rsidRDefault="00E357B4" w:rsidP="00E357B4">
      <w:pPr>
        <w:jc w:val="both"/>
        <w:rPr>
          <w:color w:val="404040" w:themeColor="text1" w:themeTint="BF"/>
        </w:rPr>
      </w:pPr>
      <w:r w:rsidRPr="00393763">
        <w:rPr>
          <w:color w:val="404040" w:themeColor="text1" w:themeTint="BF"/>
        </w:rPr>
        <w:t>A XP Investimentos dispõe de um quadro de profissionais altamente qualificados, com certificações exigidas pela ANBIMA e CVM (CPA-20, CEA, CGA, entre outras), o que assegura que os processos de distribuição e atendimento aos clientes institucionais sejam conduzidos com competência técnica.</w:t>
      </w:r>
    </w:p>
    <w:p w14:paraId="29F2912B" w14:textId="77777777" w:rsidR="00E357B4" w:rsidRPr="00393763" w:rsidRDefault="00E357B4" w:rsidP="00E357B4">
      <w:pPr>
        <w:jc w:val="both"/>
        <w:rPr>
          <w:color w:val="404040" w:themeColor="text1" w:themeTint="BF"/>
        </w:rPr>
      </w:pPr>
      <w:r w:rsidRPr="00393763">
        <w:rPr>
          <w:color w:val="404040" w:themeColor="text1" w:themeTint="BF"/>
        </w:rPr>
        <w:t>A instituição investe fortemente em capacitação e atualização de seus colaboradores, incluindo treinamentos regulares em conformidade regulatória, gestão de riscos, governança e novas tecnologias.</w:t>
      </w:r>
    </w:p>
    <w:p w14:paraId="59B7DE16" w14:textId="77777777" w:rsidR="00E357B4" w:rsidRDefault="00E357B4" w:rsidP="00E357B4">
      <w:pPr>
        <w:jc w:val="both"/>
        <w:rPr>
          <w:color w:val="404040" w:themeColor="text1" w:themeTint="BF"/>
        </w:rPr>
      </w:pPr>
      <w:r w:rsidRPr="00393763">
        <w:rPr>
          <w:color w:val="404040" w:themeColor="text1" w:themeTint="BF"/>
        </w:rPr>
        <w:t>O corpo técnico é respaldado por comitês de risco, compliance e auditoria, que reforçam a estrutura de governança e o processo decisório de forma colegiada.</w:t>
      </w:r>
    </w:p>
    <w:p w14:paraId="7DDD4B08" w14:textId="77777777" w:rsidR="003804EF" w:rsidRPr="00385677" w:rsidRDefault="003804EF" w:rsidP="00C54188">
      <w:pPr>
        <w:rPr>
          <w:b/>
          <w:bCs/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EA63EB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27A708F3" w14:textId="77777777" w:rsidR="00601E5E" w:rsidRPr="00926B41" w:rsidRDefault="00601E5E" w:rsidP="00601E5E">
      <w:pPr>
        <w:jc w:val="both"/>
        <w:rPr>
          <w:color w:val="404040" w:themeColor="text1" w:themeTint="BF"/>
        </w:rPr>
      </w:pPr>
      <w:r w:rsidRPr="00926B41">
        <w:rPr>
          <w:color w:val="404040" w:themeColor="text1" w:themeTint="BF"/>
        </w:rPr>
        <w:t>A XP mantém segregação clara entre as funções de distribuição, compliance, gestão de risco, auditoria e relacionamento com clientes, garantindo independência e mitigação de conflitos de interesse.</w:t>
      </w:r>
    </w:p>
    <w:p w14:paraId="4E0F2BF7" w14:textId="77777777" w:rsidR="00601E5E" w:rsidRDefault="00601E5E" w:rsidP="00601E5E">
      <w:pPr>
        <w:jc w:val="both"/>
        <w:rPr>
          <w:color w:val="404040" w:themeColor="text1" w:themeTint="BF"/>
        </w:rPr>
      </w:pPr>
      <w:r w:rsidRPr="00926B41">
        <w:rPr>
          <w:color w:val="404040" w:themeColor="text1" w:themeTint="BF"/>
        </w:rPr>
        <w:t>Essa estrutura organizacional é compatível com as melhores práticas de governança do mercado, proporcionando maior segurança e confiabilidade na condução das atividades de intermediação e distribuição de fundos de investimento.</w:t>
      </w:r>
    </w:p>
    <w:p w14:paraId="37168CD4" w14:textId="77777777" w:rsidR="00601E5E" w:rsidRDefault="00601E5E" w:rsidP="00601E5E">
      <w:pPr>
        <w:jc w:val="both"/>
        <w:rPr>
          <w:color w:val="404040" w:themeColor="text1" w:themeTint="BF"/>
        </w:rPr>
      </w:pPr>
      <w:r w:rsidRPr="002C4C86">
        <w:rPr>
          <w:color w:val="404040" w:themeColor="text1" w:themeTint="BF"/>
        </w:rPr>
        <w:t xml:space="preserve">Para controlar o uso e acesso às informações privilegiadas, garantir a segregação das atividades desenvolvidas e evitar conflitos de interesse, a XP Investimentos aplica o conceito de </w:t>
      </w:r>
      <w:proofErr w:type="spellStart"/>
      <w:r w:rsidRPr="002C4C86">
        <w:rPr>
          <w:color w:val="404040" w:themeColor="text1" w:themeTint="BF"/>
        </w:rPr>
        <w:t>informatio</w:t>
      </w:r>
      <w:r>
        <w:rPr>
          <w:color w:val="404040" w:themeColor="text1" w:themeTint="BF"/>
        </w:rPr>
        <w:t>n</w:t>
      </w:r>
      <w:proofErr w:type="spellEnd"/>
      <w:r>
        <w:rPr>
          <w:color w:val="404040" w:themeColor="text1" w:themeTint="BF"/>
        </w:rPr>
        <w:t xml:space="preserve"> </w:t>
      </w:r>
      <w:proofErr w:type="spellStart"/>
      <w:r w:rsidRPr="002C4C86">
        <w:rPr>
          <w:color w:val="404040" w:themeColor="text1" w:themeTint="BF"/>
        </w:rPr>
        <w:t>wall</w:t>
      </w:r>
      <w:proofErr w:type="spellEnd"/>
      <w:r w:rsidRPr="002C4C86">
        <w:rPr>
          <w:color w:val="404040" w:themeColor="text1" w:themeTint="BF"/>
        </w:rPr>
        <w:t>, que consiste em separar as informações de colaboradores envolvidos em atividades de vendas, negociação e pesquisa (o “lado público”), daqueles envolvidos em atividades de investimentos, gerenciamento de relacionamentos e clientes (o “lado privado”). Esta separação é feita através de segregação física, com acessos exclusivos, determinados por área de negócio e fornecidos por meio do crachá. Esta barreira de informações é garantida pelo Compliance que tem acesso a informações de ambos os lados e se incumbe de manter a integridade da barreira, por meio de controle do mapa de acessos, movimentações de colaboradores, monitoramentos de e-mails e demais ações voltadas para a supervisão de atividades da empresa e de seus colaboradores.</w:t>
      </w:r>
    </w:p>
    <w:p w14:paraId="3537F4AD" w14:textId="77777777" w:rsidR="003804EF" w:rsidRDefault="003804EF" w:rsidP="00C5418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F140C" w:rsidRPr="00385677" w14:paraId="2C8FF79D" w14:textId="77777777" w:rsidTr="000D7F4D">
        <w:tc>
          <w:tcPr>
            <w:tcW w:w="8494" w:type="dxa"/>
          </w:tcPr>
          <w:p w14:paraId="08CC9C2C" w14:textId="32F53780" w:rsidR="001F140C" w:rsidRPr="00385677" w:rsidRDefault="001F140C" w:rsidP="000D7F4D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</w:t>
            </w:r>
            <w:r>
              <w:rPr>
                <w:b/>
                <w:bCs/>
                <w:color w:val="3B3B98"/>
              </w:rPr>
              <w:t>REGULARIDADE FISCAL E PREVIDENCIÁRIA</w:t>
            </w:r>
            <w:r w:rsidRPr="00385677">
              <w:rPr>
                <w:b/>
                <w:bCs/>
                <w:color w:val="3B3B98"/>
              </w:rPr>
              <w:t>:</w:t>
            </w:r>
          </w:p>
        </w:tc>
      </w:tr>
    </w:tbl>
    <w:p w14:paraId="60CD1484" w14:textId="77777777" w:rsidR="001C2B27" w:rsidRDefault="001C2B27" w:rsidP="001C2B27">
      <w:pPr>
        <w:jc w:val="both"/>
        <w:rPr>
          <w:color w:val="404040" w:themeColor="text1" w:themeTint="BF"/>
        </w:rPr>
      </w:pPr>
      <w:r w:rsidRPr="00A01254">
        <w:rPr>
          <w:color w:val="404040" w:themeColor="text1" w:themeTint="BF"/>
        </w:rPr>
        <w:lastRenderedPageBreak/>
        <w:t xml:space="preserve">A instituição </w:t>
      </w:r>
      <w:r>
        <w:rPr>
          <w:color w:val="404040" w:themeColor="text1" w:themeTint="BF"/>
        </w:rPr>
        <w:t>apresentou as certidões e verificou-se que</w:t>
      </w:r>
      <w:r w:rsidRPr="00A01254">
        <w:rPr>
          <w:color w:val="404040" w:themeColor="text1" w:themeTint="BF"/>
        </w:rPr>
        <w:t xml:space="preserve"> est</w:t>
      </w:r>
      <w:r>
        <w:rPr>
          <w:color w:val="404040" w:themeColor="text1" w:themeTint="BF"/>
        </w:rPr>
        <w:t xml:space="preserve">á </w:t>
      </w:r>
      <w:r w:rsidRPr="00A01254">
        <w:rPr>
          <w:color w:val="404040" w:themeColor="text1" w:themeTint="BF"/>
        </w:rPr>
        <w:t>em plena conformidade fiscal e previdenciária, não possuindo pendências junto à Receita Federal, INSS ou demais órgãos de controle.</w:t>
      </w:r>
    </w:p>
    <w:p w14:paraId="32A850D2" w14:textId="77777777" w:rsidR="003804EF" w:rsidRPr="00B50007" w:rsidRDefault="003804EF" w:rsidP="00C5418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5E0841E9" w14:textId="77777777" w:rsidR="00C963EB" w:rsidRDefault="00C963EB" w:rsidP="00C963EB">
      <w:pPr>
        <w:jc w:val="both"/>
        <w:rPr>
          <w:color w:val="404040" w:themeColor="text1" w:themeTint="BF"/>
        </w:rPr>
      </w:pPr>
      <w:r w:rsidRPr="00EA3AA5">
        <w:rPr>
          <w:color w:val="404040" w:themeColor="text1" w:themeTint="BF"/>
        </w:rPr>
        <w:t>Os fundos distribuídos pela XP apresentam, nos últimos dois anos, desempenho compatível com seus respectivos benchmarks e níveis de risco declarados em regulamento, assegurando transparência e aderência às políticas de investimento.</w:t>
      </w:r>
    </w:p>
    <w:p w14:paraId="0C8479E0" w14:textId="3E243F42" w:rsidR="00B50007" w:rsidRDefault="00B50007" w:rsidP="00B50007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1F140C" w:rsidRPr="006E6BAD" w14:paraId="77412E38" w14:textId="77777777" w:rsidTr="001F140C">
        <w:trPr>
          <w:trHeight w:val="644"/>
        </w:trPr>
        <w:tc>
          <w:tcPr>
            <w:tcW w:w="8499" w:type="dxa"/>
            <w:shd w:val="clear" w:color="auto" w:fill="3B3B98"/>
          </w:tcPr>
          <w:p w14:paraId="2B264C13" w14:textId="404ED1DD" w:rsidR="001F140C" w:rsidRPr="00B50007" w:rsidRDefault="001F140C" w:rsidP="000D7F4D">
            <w:pPr>
              <w:rPr>
                <w:b/>
                <w:bCs/>
              </w:rPr>
            </w:pPr>
            <w:r w:rsidRPr="001F140C">
              <w:rPr>
                <w:b/>
                <w:bCs/>
                <w:color w:val="FFFFFF" w:themeColor="background1"/>
              </w:rPr>
              <w:t>EMBASAMENTO EM FORMULÁRIOS DE DILIGÊNCIA PREVISTOS EM CÓDIGOS DE AUTORREGULAÇÃO RELATIVOS À ADMINISTRAÇÃO DE RECURSOS DE TERCEIROS</w:t>
            </w:r>
          </w:p>
        </w:tc>
      </w:tr>
    </w:tbl>
    <w:p w14:paraId="23CE805A" w14:textId="77777777" w:rsidR="00362753" w:rsidRPr="0029259D" w:rsidRDefault="00362753" w:rsidP="00362753">
      <w:pPr>
        <w:jc w:val="both"/>
        <w:rPr>
          <w:color w:val="404040" w:themeColor="text1" w:themeTint="BF"/>
        </w:rPr>
      </w:pPr>
      <w:r w:rsidRPr="0029259D">
        <w:rPr>
          <w:color w:val="404040" w:themeColor="text1" w:themeTint="BF"/>
        </w:rPr>
        <w:t>A XP apresentou formulário de diligência padronizado ANBIMA, contendo informações sobre estrutura, corpo técnico, governança, volume de recursos e aderência regulatória.</w:t>
      </w:r>
    </w:p>
    <w:p w14:paraId="441EB56B" w14:textId="77777777" w:rsidR="00362753" w:rsidRPr="0029259D" w:rsidRDefault="00362753" w:rsidP="00362753">
      <w:pPr>
        <w:jc w:val="both"/>
        <w:rPr>
          <w:color w:val="404040" w:themeColor="text1" w:themeTint="BF"/>
        </w:rPr>
      </w:pPr>
      <w:r w:rsidRPr="0029259D">
        <w:rPr>
          <w:color w:val="404040" w:themeColor="text1" w:themeTint="BF"/>
        </w:rPr>
        <w:t>Esse material reforça o compromisso da instituição com a transparência, a ética e a conformidade regulatória, servindo de base para a decisão de credenciamento junto aos RPPS.</w:t>
      </w:r>
    </w:p>
    <w:p w14:paraId="6922909A" w14:textId="77777777" w:rsidR="00362753" w:rsidRPr="0029259D" w:rsidRDefault="00362753" w:rsidP="00362753">
      <w:pPr>
        <w:jc w:val="both"/>
        <w:rPr>
          <w:color w:val="404040" w:themeColor="text1" w:themeTint="BF"/>
        </w:rPr>
      </w:pPr>
      <w:r w:rsidRPr="0029259D">
        <w:rPr>
          <w:color w:val="404040" w:themeColor="text1" w:themeTint="BF"/>
        </w:rPr>
        <w:t>Adicionalmente, a XP Investimentos é aderente a diversos Códigos de Autorregulação da ANBIMA, o que amplia o grau de segurança e governança de sua atuação, incluindo:</w:t>
      </w:r>
    </w:p>
    <w:p w14:paraId="6E124FC4" w14:textId="77777777" w:rsidR="00362753" w:rsidRPr="0029259D" w:rsidRDefault="00362753" w:rsidP="00362753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(i) Código de Administração de Recursos de Terceiros;</w:t>
      </w:r>
    </w:p>
    <w:p w14:paraId="4F8AFAA7" w14:textId="77777777" w:rsidR="00362753" w:rsidRPr="0029259D" w:rsidRDefault="00362753" w:rsidP="00362753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ii</w:t>
      </w:r>
      <w:proofErr w:type="spellEnd"/>
      <w:r w:rsidRPr="0029259D">
        <w:rPr>
          <w:color w:val="404040" w:themeColor="text1" w:themeTint="BF"/>
        </w:rPr>
        <w:t>) Código de Distribuição de Produtos de Investimento;</w:t>
      </w:r>
    </w:p>
    <w:p w14:paraId="21BEBA9A" w14:textId="77777777" w:rsidR="00362753" w:rsidRPr="0029259D" w:rsidRDefault="00362753" w:rsidP="00362753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iii</w:t>
      </w:r>
      <w:proofErr w:type="spellEnd"/>
      <w:r w:rsidRPr="0029259D">
        <w:rPr>
          <w:color w:val="404040" w:themeColor="text1" w:themeTint="BF"/>
        </w:rPr>
        <w:t>) Código de Negociação de Instrumentos Financeiros;</w:t>
      </w:r>
    </w:p>
    <w:p w14:paraId="2D0968EF" w14:textId="77777777" w:rsidR="00362753" w:rsidRPr="0029259D" w:rsidRDefault="00362753" w:rsidP="00362753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iv</w:t>
      </w:r>
      <w:proofErr w:type="spellEnd"/>
      <w:r w:rsidRPr="0029259D">
        <w:rPr>
          <w:color w:val="404040" w:themeColor="text1" w:themeTint="BF"/>
        </w:rPr>
        <w:t>) Código de Ofertas Públicas;</w:t>
      </w:r>
    </w:p>
    <w:p w14:paraId="5D0B5B22" w14:textId="77777777" w:rsidR="00362753" w:rsidRPr="0029259D" w:rsidRDefault="00362753" w:rsidP="00362753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(v) Código de Ética;</w:t>
      </w:r>
    </w:p>
    <w:p w14:paraId="17B41E0A" w14:textId="77777777" w:rsidR="00362753" w:rsidRPr="0029259D" w:rsidRDefault="00362753" w:rsidP="00362753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(vi) Código dos Processos da Regulação e Melhores Práticas;</w:t>
      </w:r>
    </w:p>
    <w:p w14:paraId="73F134AE" w14:textId="77777777" w:rsidR="00362753" w:rsidRPr="0029259D" w:rsidRDefault="00362753" w:rsidP="00362753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vii</w:t>
      </w:r>
      <w:proofErr w:type="spellEnd"/>
      <w:r w:rsidRPr="0029259D">
        <w:rPr>
          <w:color w:val="404040" w:themeColor="text1" w:themeTint="BF"/>
        </w:rPr>
        <w:t>) Código para Serviços Qualificados ao Mercado de Capitais;</w:t>
      </w:r>
    </w:p>
    <w:p w14:paraId="077EE941" w14:textId="77777777" w:rsidR="00362753" w:rsidRPr="0029259D" w:rsidRDefault="00362753" w:rsidP="00362753">
      <w:pPr>
        <w:rPr>
          <w:color w:val="404040" w:themeColor="text1" w:themeTint="BF"/>
        </w:rPr>
      </w:pPr>
      <w:r w:rsidRPr="0029259D">
        <w:rPr>
          <w:color w:val="404040" w:themeColor="text1" w:themeTint="BF"/>
        </w:rPr>
        <w:t>(</w:t>
      </w:r>
      <w:proofErr w:type="spellStart"/>
      <w:r w:rsidRPr="0029259D">
        <w:rPr>
          <w:color w:val="404040" w:themeColor="text1" w:themeTint="BF"/>
        </w:rPr>
        <w:t>viii</w:t>
      </w:r>
      <w:proofErr w:type="spellEnd"/>
      <w:r w:rsidRPr="0029259D">
        <w:rPr>
          <w:color w:val="404040" w:themeColor="text1" w:themeTint="BF"/>
        </w:rPr>
        <w:t>) Código para o Programa de Certificação Continuada.</w:t>
      </w:r>
    </w:p>
    <w:p w14:paraId="42802574" w14:textId="77777777" w:rsidR="00B50007" w:rsidRPr="0085662A" w:rsidRDefault="00B50007" w:rsidP="0085662A">
      <w:pPr>
        <w:rPr>
          <w:b/>
          <w:bCs/>
          <w:color w:val="404040" w:themeColor="text1" w:themeTint="BF"/>
        </w:rPr>
      </w:pPr>
    </w:p>
    <w:p w14:paraId="1B50EA88" w14:textId="7CCB9A1A" w:rsidR="00BB44DD" w:rsidRPr="00385677" w:rsidRDefault="0085662A" w:rsidP="00BB44DD">
      <w:pPr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0CC74EDF" w14:textId="77777777" w:rsidR="00B66504" w:rsidRPr="00476F20" w:rsidRDefault="00B66504" w:rsidP="00B66504">
      <w:pPr>
        <w:jc w:val="both"/>
        <w:rPr>
          <w:color w:val="404040" w:themeColor="text1" w:themeTint="BF"/>
        </w:rPr>
      </w:pPr>
      <w:r w:rsidRPr="00476F20">
        <w:rPr>
          <w:color w:val="404040" w:themeColor="text1" w:themeTint="BF"/>
        </w:rPr>
        <w:t>A XP Investimentos Corretora de Câmbio, Títulos e Valores Mobiliários S.A. demonstra solidez institucional, experiência consolidada, qualificação técnica e elevado padrão ético em suas operações. Sua vinculação ao grupo XP Inc., listado no exterior, reforça sua governança e credibilidade internacional.</w:t>
      </w:r>
    </w:p>
    <w:p w14:paraId="55296C2B" w14:textId="77777777" w:rsidR="00B66504" w:rsidRPr="00476F20" w:rsidRDefault="00B66504" w:rsidP="00B66504">
      <w:pPr>
        <w:jc w:val="both"/>
        <w:rPr>
          <w:color w:val="404040" w:themeColor="text1" w:themeTint="BF"/>
        </w:rPr>
      </w:pPr>
      <w:r w:rsidRPr="00476F20">
        <w:rPr>
          <w:color w:val="404040" w:themeColor="text1" w:themeTint="BF"/>
        </w:rPr>
        <w:t>Os documentos apresentados comprovam que a instituição atende a todos os requisitos da Portaria MTP nº 1.467/2022, incluindo experiência mínima, regularidade fiscal, estrutura técnica, governança e ausência de restrições regulatórias.</w:t>
      </w:r>
    </w:p>
    <w:p w14:paraId="31279F70" w14:textId="77777777" w:rsidR="00B66504" w:rsidRDefault="00B66504" w:rsidP="00B66504">
      <w:pPr>
        <w:jc w:val="both"/>
        <w:rPr>
          <w:color w:val="404040" w:themeColor="text1" w:themeTint="BF"/>
        </w:rPr>
      </w:pPr>
      <w:r w:rsidRPr="00476F20">
        <w:rPr>
          <w:color w:val="404040" w:themeColor="text1" w:themeTint="BF"/>
        </w:rPr>
        <w:lastRenderedPageBreak/>
        <w:t>Assim, conclui-se que não há impeditivos ao credenciamento da XP Investimentos junto aos RPPS, sendo recomendada sua aprovação como instituição apta a intermediar e distribuir fundos de investimento para entes previdenciários municipais.</w:t>
      </w:r>
    </w:p>
    <w:p w14:paraId="41F0DEEF" w14:textId="77777777" w:rsidR="003C1B37" w:rsidRPr="00385677" w:rsidRDefault="003C1B37" w:rsidP="00BB44DD">
      <w:pPr>
        <w:rPr>
          <w:b/>
          <w:bCs/>
          <w:color w:val="404040" w:themeColor="text1" w:themeTint="BF"/>
        </w:rPr>
      </w:pPr>
    </w:p>
    <w:p w14:paraId="7278CB64" w14:textId="29E3E463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85662A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Default="0080731D" w:rsidP="00BB44DD">
      <w:pPr>
        <w:rPr>
          <w:b/>
          <w:bCs/>
        </w:rPr>
      </w:pPr>
    </w:p>
    <w:p w14:paraId="40F67C27" w14:textId="77777777" w:rsidR="0085662A" w:rsidRDefault="0085662A" w:rsidP="00BB44DD">
      <w:pPr>
        <w:rPr>
          <w:b/>
          <w:bCs/>
        </w:rPr>
      </w:pPr>
    </w:p>
    <w:p w14:paraId="37B5D49F" w14:textId="67F3F081" w:rsidR="0085662A" w:rsidRPr="00BB44DD" w:rsidRDefault="0085662A" w:rsidP="0085662A">
      <w:pPr>
        <w:jc w:val="right"/>
        <w:rPr>
          <w:b/>
          <w:bCs/>
        </w:rPr>
      </w:pPr>
    </w:p>
    <w:sectPr w:rsidR="0085662A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5440F"/>
    <w:rsid w:val="00074CF2"/>
    <w:rsid w:val="000C2B8B"/>
    <w:rsid w:val="000F4A3B"/>
    <w:rsid w:val="00155D8D"/>
    <w:rsid w:val="00171A89"/>
    <w:rsid w:val="001A07C0"/>
    <w:rsid w:val="001B56F0"/>
    <w:rsid w:val="001C2B27"/>
    <w:rsid w:val="001C468A"/>
    <w:rsid w:val="001E6949"/>
    <w:rsid w:val="001F140C"/>
    <w:rsid w:val="00237256"/>
    <w:rsid w:val="002A5E0C"/>
    <w:rsid w:val="002B4DAC"/>
    <w:rsid w:val="002F2C11"/>
    <w:rsid w:val="00335D77"/>
    <w:rsid w:val="00341BEC"/>
    <w:rsid w:val="003527AD"/>
    <w:rsid w:val="00354E32"/>
    <w:rsid w:val="00362753"/>
    <w:rsid w:val="00374AF8"/>
    <w:rsid w:val="003804EF"/>
    <w:rsid w:val="00385677"/>
    <w:rsid w:val="003907E9"/>
    <w:rsid w:val="003A48B1"/>
    <w:rsid w:val="003B6B9D"/>
    <w:rsid w:val="003C02D6"/>
    <w:rsid w:val="003C1B37"/>
    <w:rsid w:val="004674C6"/>
    <w:rsid w:val="00485180"/>
    <w:rsid w:val="004E3710"/>
    <w:rsid w:val="004E5418"/>
    <w:rsid w:val="00523C5E"/>
    <w:rsid w:val="00540778"/>
    <w:rsid w:val="00566B27"/>
    <w:rsid w:val="005C792E"/>
    <w:rsid w:val="005E1713"/>
    <w:rsid w:val="00601E5E"/>
    <w:rsid w:val="00693C84"/>
    <w:rsid w:val="006A19E0"/>
    <w:rsid w:val="006E6452"/>
    <w:rsid w:val="006E6BAD"/>
    <w:rsid w:val="00713A19"/>
    <w:rsid w:val="00722B97"/>
    <w:rsid w:val="00736C36"/>
    <w:rsid w:val="00765243"/>
    <w:rsid w:val="00774D11"/>
    <w:rsid w:val="007A12A0"/>
    <w:rsid w:val="007D584C"/>
    <w:rsid w:val="0080731D"/>
    <w:rsid w:val="0082059B"/>
    <w:rsid w:val="008316CE"/>
    <w:rsid w:val="00837BC6"/>
    <w:rsid w:val="0085662A"/>
    <w:rsid w:val="0085754A"/>
    <w:rsid w:val="00861801"/>
    <w:rsid w:val="00895EB2"/>
    <w:rsid w:val="009173BA"/>
    <w:rsid w:val="00945D83"/>
    <w:rsid w:val="00973893"/>
    <w:rsid w:val="009A3C05"/>
    <w:rsid w:val="00A05D26"/>
    <w:rsid w:val="00A13F7F"/>
    <w:rsid w:val="00A52A7E"/>
    <w:rsid w:val="00AA0BB3"/>
    <w:rsid w:val="00AB46FD"/>
    <w:rsid w:val="00B0309F"/>
    <w:rsid w:val="00B34D64"/>
    <w:rsid w:val="00B50007"/>
    <w:rsid w:val="00B66504"/>
    <w:rsid w:val="00B70693"/>
    <w:rsid w:val="00BB4388"/>
    <w:rsid w:val="00BB44DD"/>
    <w:rsid w:val="00BD30F3"/>
    <w:rsid w:val="00C10785"/>
    <w:rsid w:val="00C54188"/>
    <w:rsid w:val="00C963EB"/>
    <w:rsid w:val="00CE1A54"/>
    <w:rsid w:val="00D171AE"/>
    <w:rsid w:val="00D2305E"/>
    <w:rsid w:val="00D42F33"/>
    <w:rsid w:val="00D7532C"/>
    <w:rsid w:val="00D95107"/>
    <w:rsid w:val="00E34495"/>
    <w:rsid w:val="00E357B4"/>
    <w:rsid w:val="00E60EAF"/>
    <w:rsid w:val="00EA41D6"/>
    <w:rsid w:val="00ED5712"/>
    <w:rsid w:val="00EF0037"/>
    <w:rsid w:val="00F11446"/>
    <w:rsid w:val="00F42148"/>
    <w:rsid w:val="00FD3E35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ED15A6E0-C30F-4EE1-B691-2DF8A9D7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32A78465D21943B20E6B7E93116FD5" ma:contentTypeVersion="18" ma:contentTypeDescription="Crie um novo documento." ma:contentTypeScope="" ma:versionID="1c60d0b4c2de4f8e23b1e0feb6450c5a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bb4bf2deba5303fde076e99b1441275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2D0787-E16B-4566-AB70-E9CDE131B0C7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2.xml><?xml version="1.0" encoding="utf-8"?>
<ds:datastoreItem xmlns:ds="http://schemas.openxmlformats.org/officeDocument/2006/customXml" ds:itemID="{33A3B286-8654-4574-B707-00FE02A87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9FF25-B667-4ADB-B6E5-D1B655906C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2308</Words>
  <Characters>12469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Rodolpho Malafaia</cp:lastModifiedBy>
  <cp:revision>68</cp:revision>
  <dcterms:created xsi:type="dcterms:W3CDTF">2024-09-04T21:09:00Z</dcterms:created>
  <dcterms:modified xsi:type="dcterms:W3CDTF">2025-08-21T14:18:00Z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